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7C0" w:rsidRPr="00CD6813" w:rsidRDefault="007B47C0" w:rsidP="00CD6813">
      <w:pPr>
        <w:autoSpaceDE w:val="0"/>
        <w:autoSpaceDN w:val="0"/>
        <w:adjustRightInd w:val="0"/>
        <w:spacing w:after="0" w:line="240" w:lineRule="auto"/>
        <w:jc w:val="both"/>
        <w:rPr>
          <w:rFonts w:ascii="Arial" w:hAnsi="Arial" w:cs="Arial"/>
          <w:b/>
          <w:sz w:val="24"/>
          <w:szCs w:val="24"/>
        </w:rPr>
      </w:pPr>
    </w:p>
    <w:p w:rsidR="007B47C0" w:rsidRPr="00CD6813" w:rsidRDefault="007B47C0" w:rsidP="00CD6813">
      <w:pPr>
        <w:autoSpaceDE w:val="0"/>
        <w:autoSpaceDN w:val="0"/>
        <w:adjustRightInd w:val="0"/>
        <w:spacing w:after="0" w:line="240" w:lineRule="auto"/>
        <w:jc w:val="both"/>
        <w:rPr>
          <w:rFonts w:ascii="Arial" w:hAnsi="Arial" w:cs="Arial"/>
          <w:bCs/>
          <w:sz w:val="24"/>
          <w:szCs w:val="24"/>
        </w:rPr>
      </w:pPr>
      <w:r w:rsidRPr="00CD6813">
        <w:rPr>
          <w:rFonts w:ascii="Arial" w:hAnsi="Arial" w:cs="Arial"/>
          <w:bCs/>
          <w:sz w:val="24"/>
          <w:szCs w:val="24"/>
        </w:rPr>
        <w:t xml:space="preserve">Trata-se de impugnação ao Edital do Pregão Presencial 14/2020 apresentada por IAGO HENRIQUE ME, na qual o impugnante pretende a alteração do critério de seleção da proposta, passando de menor preço por lote para menor preço por item. Argumenta que o critério de menor preço por lote diminuiria a competitividade do certame. </w:t>
      </w:r>
    </w:p>
    <w:p w:rsidR="007B47C0" w:rsidRPr="00CD6813" w:rsidRDefault="007B47C0" w:rsidP="00CD6813">
      <w:pPr>
        <w:autoSpaceDE w:val="0"/>
        <w:autoSpaceDN w:val="0"/>
        <w:adjustRightInd w:val="0"/>
        <w:spacing w:after="0" w:line="240" w:lineRule="auto"/>
        <w:jc w:val="both"/>
        <w:rPr>
          <w:rFonts w:ascii="Arial" w:hAnsi="Arial" w:cs="Arial"/>
          <w:bCs/>
          <w:sz w:val="24"/>
          <w:szCs w:val="24"/>
        </w:rPr>
      </w:pPr>
    </w:p>
    <w:p w:rsidR="007B47C0" w:rsidRPr="00CD6813" w:rsidRDefault="007B47C0" w:rsidP="00CD6813">
      <w:pPr>
        <w:autoSpaceDE w:val="0"/>
        <w:autoSpaceDN w:val="0"/>
        <w:adjustRightInd w:val="0"/>
        <w:spacing w:after="0" w:line="240" w:lineRule="auto"/>
        <w:jc w:val="both"/>
        <w:rPr>
          <w:rFonts w:ascii="Arial" w:hAnsi="Arial" w:cs="Arial"/>
          <w:b/>
          <w:sz w:val="24"/>
          <w:szCs w:val="24"/>
        </w:rPr>
      </w:pPr>
      <w:r w:rsidRPr="00CD6813">
        <w:rPr>
          <w:rFonts w:ascii="Arial" w:hAnsi="Arial" w:cs="Arial"/>
          <w:b/>
          <w:sz w:val="24"/>
          <w:szCs w:val="24"/>
        </w:rPr>
        <w:t>A impugnação não merece acolhida, senão vejamos.</w:t>
      </w:r>
    </w:p>
    <w:p w:rsidR="007B47C0" w:rsidRPr="00CD6813" w:rsidRDefault="007B47C0" w:rsidP="00CD6813">
      <w:pPr>
        <w:autoSpaceDE w:val="0"/>
        <w:autoSpaceDN w:val="0"/>
        <w:adjustRightInd w:val="0"/>
        <w:spacing w:after="0" w:line="240" w:lineRule="auto"/>
        <w:jc w:val="both"/>
        <w:rPr>
          <w:rFonts w:ascii="Arial" w:hAnsi="Arial" w:cs="Arial"/>
          <w:sz w:val="24"/>
          <w:szCs w:val="24"/>
        </w:rPr>
      </w:pPr>
    </w:p>
    <w:p w:rsidR="007B47C0" w:rsidRPr="00CD6813" w:rsidRDefault="00434968" w:rsidP="00CD6813">
      <w:pPr>
        <w:autoSpaceDE w:val="0"/>
        <w:autoSpaceDN w:val="0"/>
        <w:adjustRightInd w:val="0"/>
        <w:spacing w:after="0" w:line="240" w:lineRule="auto"/>
        <w:jc w:val="both"/>
        <w:rPr>
          <w:rFonts w:ascii="Arial" w:hAnsi="Arial" w:cs="Arial"/>
          <w:sz w:val="24"/>
          <w:szCs w:val="24"/>
        </w:rPr>
      </w:pPr>
      <w:r w:rsidRPr="00CD6813">
        <w:rPr>
          <w:rFonts w:ascii="Arial" w:hAnsi="Arial" w:cs="Arial"/>
          <w:sz w:val="24"/>
          <w:szCs w:val="24"/>
        </w:rPr>
        <w:t>Em geral, as licitações por lotes são mais satisfatórias do ponto de vista da eficiência técnica</w:t>
      </w:r>
      <w:r w:rsidR="007B47C0" w:rsidRPr="00CD6813">
        <w:rPr>
          <w:rFonts w:ascii="Arial" w:hAnsi="Arial" w:cs="Arial"/>
          <w:sz w:val="24"/>
          <w:szCs w:val="24"/>
        </w:rPr>
        <w:t xml:space="preserve"> e econômica</w:t>
      </w:r>
      <w:r w:rsidRPr="00CD6813">
        <w:rPr>
          <w:rFonts w:ascii="Arial" w:hAnsi="Arial" w:cs="Arial"/>
          <w:sz w:val="24"/>
          <w:szCs w:val="24"/>
        </w:rPr>
        <w:t>. Nesse ponto, a vantagem é o maior nível de controle pela Administração na execução da contratação, a facilidade no cumprimento do cronograma preestabelecido e na observância dos prazos, concentração da responsabilidade pela execução do</w:t>
      </w:r>
      <w:r w:rsidR="007B47C0" w:rsidRPr="00CD6813">
        <w:rPr>
          <w:rFonts w:ascii="Arial" w:hAnsi="Arial" w:cs="Arial"/>
          <w:sz w:val="24"/>
          <w:szCs w:val="24"/>
        </w:rPr>
        <w:t xml:space="preserve"> contrato</w:t>
      </w:r>
      <w:r w:rsidRPr="00CD6813">
        <w:rPr>
          <w:rFonts w:ascii="Arial" w:hAnsi="Arial" w:cs="Arial"/>
          <w:sz w:val="24"/>
          <w:szCs w:val="24"/>
        </w:rPr>
        <w:t xml:space="preserve"> em uma só pessoa e concentração da garantia dos resultados. Argumentamos, ademais, que haverá um grande ganho para a Administração na economia de escala, que aplicada na execução de determinado </w:t>
      </w:r>
      <w:r w:rsidR="007B47C0" w:rsidRPr="00CD6813">
        <w:rPr>
          <w:rFonts w:ascii="Arial" w:hAnsi="Arial" w:cs="Arial"/>
          <w:sz w:val="24"/>
          <w:szCs w:val="24"/>
        </w:rPr>
        <w:t>contrato</w:t>
      </w:r>
      <w:r w:rsidRPr="00CD6813">
        <w:rPr>
          <w:rFonts w:ascii="Arial" w:hAnsi="Arial" w:cs="Arial"/>
          <w:sz w:val="24"/>
          <w:szCs w:val="24"/>
        </w:rPr>
        <w:t>, implica em aumento de quantitativos e, consequentemente, numa redução de preços a serem pagos pela Administração. E não é só, como os itens aqui licitados são da mesma natureza / mesmo afinidade e compatibilidade (lotes), entendemos que isso propicia maior participação de empresas (junção em lotes), uma vez que haverá maior ganho de escala e, os custos com entrega das mercadorias serão menores do que em relação a, por exemplo, um licitante somente vencer de um item de pouco valor e este ter sede em outro estado por exemplo. Tal economia irá refletir diretamente nas propostas apresentadas, diminuindo assim os valores licitados. Também não se pode esquecer o fato de, como já exposto acima, um licitante com sede em outro estado</w:t>
      </w:r>
      <w:r w:rsidR="007B47C0" w:rsidRPr="00CD6813">
        <w:rPr>
          <w:rFonts w:ascii="Arial" w:hAnsi="Arial" w:cs="Arial"/>
          <w:sz w:val="24"/>
          <w:szCs w:val="24"/>
        </w:rPr>
        <w:t xml:space="preserve"> ou de localidade distante</w:t>
      </w:r>
      <w:r w:rsidRPr="00CD6813">
        <w:rPr>
          <w:rFonts w:ascii="Arial" w:hAnsi="Arial" w:cs="Arial"/>
          <w:sz w:val="24"/>
          <w:szCs w:val="24"/>
        </w:rPr>
        <w:t xml:space="preserve"> se sagrar vencedor de um item de pequena monta </w:t>
      </w:r>
      <w:r w:rsidR="007B47C0" w:rsidRPr="00CD6813">
        <w:rPr>
          <w:rFonts w:ascii="Arial" w:hAnsi="Arial" w:cs="Arial"/>
          <w:sz w:val="24"/>
          <w:szCs w:val="24"/>
        </w:rPr>
        <w:t>de pequeno valor, cujo, até mesmo o frete e a distância para entrega não seja vantajosa para o licitante, causando assim embaraços a Administração.</w:t>
      </w:r>
    </w:p>
    <w:p w:rsidR="007B47C0" w:rsidRPr="00CD6813" w:rsidRDefault="007B47C0" w:rsidP="00CD6813">
      <w:pPr>
        <w:spacing w:after="0" w:line="240" w:lineRule="auto"/>
        <w:jc w:val="both"/>
        <w:rPr>
          <w:rFonts w:ascii="Arial" w:hAnsi="Arial" w:cs="Arial"/>
          <w:sz w:val="24"/>
          <w:szCs w:val="24"/>
        </w:rPr>
      </w:pPr>
    </w:p>
    <w:p w:rsidR="00CD6813" w:rsidRPr="00CD6813" w:rsidRDefault="00CD6813" w:rsidP="00CD6813">
      <w:pPr>
        <w:spacing w:after="0" w:line="240" w:lineRule="auto"/>
        <w:jc w:val="both"/>
        <w:rPr>
          <w:rFonts w:ascii="Arial" w:hAnsi="Arial" w:cs="Arial"/>
          <w:color w:val="000000"/>
          <w:sz w:val="24"/>
          <w:szCs w:val="24"/>
        </w:rPr>
      </w:pPr>
      <w:r w:rsidRPr="00CD6813">
        <w:rPr>
          <w:rFonts w:ascii="Arial" w:hAnsi="Arial" w:cs="Arial"/>
          <w:color w:val="000000"/>
          <w:sz w:val="24"/>
          <w:szCs w:val="24"/>
        </w:rPr>
        <w:t>Não é por outro motivo que a Lei. 8.666/93 previu no parágrafo 1º do art 23 que as compras devem ser divididas levando-se em conta a economia de escala e com vistas a ampliar a competitividade do certame:</w:t>
      </w:r>
    </w:p>
    <w:p w:rsidR="00CD6813" w:rsidRPr="00CD6813" w:rsidRDefault="00CD6813" w:rsidP="00CD6813">
      <w:pPr>
        <w:spacing w:after="0" w:line="240" w:lineRule="auto"/>
        <w:ind w:firstLine="2835"/>
        <w:jc w:val="both"/>
        <w:rPr>
          <w:rFonts w:ascii="Arial" w:hAnsi="Arial" w:cs="Arial"/>
          <w:color w:val="000000"/>
          <w:sz w:val="24"/>
          <w:szCs w:val="24"/>
        </w:rPr>
      </w:pPr>
    </w:p>
    <w:p w:rsidR="00CD6813" w:rsidRPr="00CD6813" w:rsidRDefault="00CD6813" w:rsidP="00CD6813">
      <w:pPr>
        <w:spacing w:after="0" w:line="240" w:lineRule="auto"/>
        <w:ind w:firstLine="1134"/>
        <w:jc w:val="both"/>
        <w:rPr>
          <w:rFonts w:ascii="Arial" w:hAnsi="Arial" w:cs="Arial"/>
          <w:color w:val="000000"/>
          <w:sz w:val="24"/>
          <w:szCs w:val="24"/>
        </w:rPr>
      </w:pPr>
      <w:r w:rsidRPr="00CD6813">
        <w:rPr>
          <w:rFonts w:ascii="Arial" w:hAnsi="Arial" w:cs="Arial"/>
          <w:color w:val="000000"/>
          <w:sz w:val="24"/>
          <w:szCs w:val="24"/>
          <w:shd w:val="clear" w:color="auto" w:fill="FFFFFF"/>
        </w:rPr>
        <w:t>§ 1</w:t>
      </w:r>
      <w:r w:rsidRPr="00CD6813">
        <w:rPr>
          <w:rFonts w:ascii="Arial" w:hAnsi="Arial" w:cs="Arial"/>
          <w:color w:val="000000"/>
          <w:sz w:val="24"/>
          <w:szCs w:val="24"/>
          <w:u w:val="single"/>
          <w:shd w:val="clear" w:color="auto" w:fill="FFFFFF"/>
          <w:vertAlign w:val="superscript"/>
        </w:rPr>
        <w:t>o</w:t>
      </w:r>
      <w:r w:rsidRPr="00CD6813">
        <w:rPr>
          <w:rFonts w:ascii="Arial" w:hAnsi="Arial" w:cs="Arial"/>
          <w:color w:val="000000"/>
          <w:sz w:val="24"/>
          <w:szCs w:val="24"/>
          <w:shd w:val="clear" w:color="auto" w:fill="FFFFFF"/>
        </w:rPr>
        <w:t xml:space="preserve">  As obras, serviços e compras efetuadas pela Administração </w:t>
      </w:r>
      <w:r w:rsidRPr="00CD6813">
        <w:rPr>
          <w:rFonts w:ascii="Arial" w:hAnsi="Arial" w:cs="Arial"/>
          <w:b/>
          <w:bCs/>
          <w:color w:val="000000"/>
          <w:sz w:val="24"/>
          <w:szCs w:val="24"/>
          <w:u w:val="single"/>
          <w:shd w:val="clear" w:color="auto" w:fill="FFFFFF"/>
        </w:rPr>
        <w:t>serão divididas em tantas parcelas quantas se comprovarem técnica e economicamente viáveis, procedendo-se à licitação com vistas ao melhor aproveitamento dos recursos disponíveis no mercado e à ampliação da competitividade sem perda da economia de escala</w:t>
      </w:r>
      <w:r w:rsidRPr="00CD6813">
        <w:rPr>
          <w:rFonts w:ascii="Arial" w:hAnsi="Arial" w:cs="Arial"/>
          <w:color w:val="000000"/>
          <w:sz w:val="24"/>
          <w:szCs w:val="24"/>
          <w:shd w:val="clear" w:color="auto" w:fill="FFFFFF"/>
        </w:rPr>
        <w:t>. </w:t>
      </w:r>
    </w:p>
    <w:p w:rsidR="00CD6813" w:rsidRPr="00CD6813" w:rsidRDefault="00CD6813" w:rsidP="00CD6813">
      <w:pPr>
        <w:spacing w:after="0" w:line="240" w:lineRule="auto"/>
        <w:ind w:firstLine="2835"/>
        <w:jc w:val="both"/>
        <w:rPr>
          <w:rFonts w:ascii="Arial" w:hAnsi="Arial" w:cs="Arial"/>
          <w:color w:val="000000"/>
          <w:sz w:val="24"/>
          <w:szCs w:val="24"/>
        </w:rPr>
      </w:pPr>
    </w:p>
    <w:p w:rsidR="00CD6813" w:rsidRPr="00CD6813" w:rsidRDefault="00CD6813" w:rsidP="00CD6813">
      <w:pPr>
        <w:spacing w:after="0" w:line="240" w:lineRule="auto"/>
        <w:ind w:firstLine="2835"/>
        <w:jc w:val="both"/>
        <w:rPr>
          <w:rFonts w:ascii="Arial" w:hAnsi="Arial" w:cs="Arial"/>
          <w:color w:val="000000"/>
          <w:sz w:val="24"/>
          <w:szCs w:val="24"/>
        </w:rPr>
      </w:pPr>
      <w:r w:rsidRPr="00CD6813">
        <w:rPr>
          <w:rFonts w:ascii="Arial" w:hAnsi="Arial" w:cs="Arial"/>
          <w:color w:val="000000"/>
          <w:sz w:val="24"/>
          <w:szCs w:val="24"/>
        </w:rPr>
        <w:t>No mesmo sentido é a dicção do art. 8º do Decreto nº 7.892/2013:</w:t>
      </w:r>
    </w:p>
    <w:p w:rsidR="00CD6813" w:rsidRPr="00CD6813" w:rsidRDefault="00CD6813" w:rsidP="00CD6813">
      <w:pPr>
        <w:spacing w:after="0" w:line="240" w:lineRule="auto"/>
        <w:ind w:firstLine="2835"/>
        <w:jc w:val="both"/>
        <w:rPr>
          <w:rFonts w:ascii="Arial" w:hAnsi="Arial" w:cs="Arial"/>
          <w:color w:val="000000"/>
          <w:sz w:val="24"/>
          <w:szCs w:val="24"/>
        </w:rPr>
      </w:pPr>
    </w:p>
    <w:p w:rsidR="00CD6813" w:rsidRPr="00CD6813" w:rsidRDefault="00CD6813" w:rsidP="00CD6813">
      <w:pPr>
        <w:spacing w:after="0" w:line="240" w:lineRule="auto"/>
        <w:ind w:firstLine="1276"/>
        <w:jc w:val="both"/>
        <w:rPr>
          <w:rFonts w:ascii="Arial" w:hAnsi="Arial" w:cs="Arial"/>
          <w:color w:val="000000"/>
          <w:sz w:val="24"/>
          <w:szCs w:val="24"/>
        </w:rPr>
      </w:pPr>
      <w:r w:rsidRPr="00CD6813">
        <w:rPr>
          <w:rFonts w:ascii="Arial" w:hAnsi="Arial" w:cs="Arial"/>
          <w:color w:val="000000"/>
          <w:sz w:val="24"/>
          <w:szCs w:val="24"/>
        </w:rPr>
        <w:t>Art. 8º O órgão gerenciador poderá dividir a quantidade total do item em lotes, quando técnica e economicamente viável, para possibilitar maior competitividade, observada a quantidade mínima, o prazo e o local de entrega ou de prestação dos serviços.</w:t>
      </w:r>
    </w:p>
    <w:p w:rsidR="00CD6813" w:rsidRPr="00CD6813" w:rsidRDefault="00CD6813" w:rsidP="00CD6813">
      <w:pPr>
        <w:spacing w:after="0" w:line="240" w:lineRule="auto"/>
        <w:jc w:val="both"/>
        <w:rPr>
          <w:rFonts w:ascii="Arial" w:hAnsi="Arial" w:cs="Arial"/>
          <w:sz w:val="24"/>
          <w:szCs w:val="24"/>
        </w:rPr>
      </w:pPr>
    </w:p>
    <w:p w:rsidR="00CD6813" w:rsidRPr="00CD6813" w:rsidRDefault="00CD6813" w:rsidP="00CD6813">
      <w:pPr>
        <w:spacing w:after="0" w:line="240" w:lineRule="auto"/>
        <w:jc w:val="both"/>
        <w:rPr>
          <w:rFonts w:ascii="Arial" w:hAnsi="Arial" w:cs="Arial"/>
          <w:sz w:val="24"/>
          <w:szCs w:val="24"/>
        </w:rPr>
      </w:pPr>
    </w:p>
    <w:p w:rsidR="00434968" w:rsidRPr="00CD6813" w:rsidRDefault="007B47C0" w:rsidP="00CD6813">
      <w:pPr>
        <w:autoSpaceDE w:val="0"/>
        <w:autoSpaceDN w:val="0"/>
        <w:adjustRightInd w:val="0"/>
        <w:spacing w:after="0" w:line="240" w:lineRule="auto"/>
        <w:jc w:val="both"/>
        <w:rPr>
          <w:rFonts w:ascii="Arial" w:hAnsi="Arial" w:cs="Arial"/>
          <w:sz w:val="24"/>
          <w:szCs w:val="24"/>
        </w:rPr>
      </w:pPr>
      <w:r w:rsidRPr="00CD6813">
        <w:rPr>
          <w:rFonts w:ascii="Arial" w:hAnsi="Arial" w:cs="Arial"/>
          <w:sz w:val="24"/>
          <w:szCs w:val="24"/>
        </w:rPr>
        <w:t>Nesse sentido:</w:t>
      </w:r>
    </w:p>
    <w:p w:rsidR="007B47C0" w:rsidRPr="00CD6813" w:rsidRDefault="007B47C0" w:rsidP="00CD6813">
      <w:pPr>
        <w:autoSpaceDE w:val="0"/>
        <w:autoSpaceDN w:val="0"/>
        <w:adjustRightInd w:val="0"/>
        <w:spacing w:after="0" w:line="240" w:lineRule="auto"/>
        <w:jc w:val="both"/>
        <w:rPr>
          <w:rFonts w:ascii="Arial" w:hAnsi="Arial" w:cs="Arial"/>
          <w:b/>
          <w:bCs/>
          <w:sz w:val="24"/>
          <w:szCs w:val="24"/>
        </w:rPr>
      </w:pPr>
    </w:p>
    <w:p w:rsidR="00434968" w:rsidRPr="00CD6813" w:rsidRDefault="00434968" w:rsidP="00CD6813">
      <w:pPr>
        <w:autoSpaceDE w:val="0"/>
        <w:autoSpaceDN w:val="0"/>
        <w:adjustRightInd w:val="0"/>
        <w:spacing w:after="0" w:line="240" w:lineRule="auto"/>
        <w:jc w:val="both"/>
        <w:rPr>
          <w:rFonts w:ascii="Arial" w:hAnsi="Arial" w:cs="Arial"/>
          <w:b/>
          <w:bCs/>
          <w:sz w:val="24"/>
          <w:szCs w:val="24"/>
        </w:rPr>
      </w:pPr>
      <w:r w:rsidRPr="00CD6813">
        <w:rPr>
          <w:rFonts w:ascii="Arial" w:hAnsi="Arial" w:cs="Arial"/>
          <w:sz w:val="24"/>
          <w:szCs w:val="24"/>
        </w:rPr>
        <w:t xml:space="preserve">[...] 5101.989.16-8. SESSÃO DE 13/04/2016. RELATOR CONSELHEIRO SIDNEY ESTANISLAU BERALDO: “2.2 De início, impende destacar que a jurisprudência deste Tribunal se firmou no sentido de que não haveria, em tese, </w:t>
      </w:r>
      <w:r w:rsidRPr="00CD6813">
        <w:rPr>
          <w:rFonts w:ascii="Arial" w:hAnsi="Arial" w:cs="Arial"/>
          <w:b/>
          <w:bCs/>
          <w:sz w:val="24"/>
          <w:szCs w:val="24"/>
        </w:rPr>
        <w:t xml:space="preserve">óbice legal à aglutinação de produtos em lotes, com vistas à contratação de um único fornecedor que se incumba de entregá-los ponto a ponto, </w:t>
      </w:r>
      <w:r w:rsidRPr="00CD6813">
        <w:rPr>
          <w:rFonts w:ascii="Arial" w:hAnsi="Arial" w:cs="Arial"/>
          <w:sz w:val="24"/>
          <w:szCs w:val="24"/>
        </w:rPr>
        <w:t xml:space="preserve">nos prazos e condições estipuladas no edital, desde que se considerasse o agrupamento de produtos afins, </w:t>
      </w:r>
      <w:r w:rsidRPr="00CD6813">
        <w:rPr>
          <w:rFonts w:ascii="Arial" w:hAnsi="Arial" w:cs="Arial"/>
          <w:b/>
          <w:bCs/>
          <w:sz w:val="24"/>
          <w:szCs w:val="24"/>
        </w:rPr>
        <w:t>a título de garantir maior competitividade e a obtenção de preços mais vantajosos.</w:t>
      </w:r>
      <w:r w:rsidRPr="00CD6813">
        <w:rPr>
          <w:rFonts w:ascii="Arial" w:hAnsi="Arial" w:cs="Arial"/>
          <w:sz w:val="24"/>
          <w:szCs w:val="24"/>
        </w:rPr>
        <w:t xml:space="preserve">” [...] </w:t>
      </w:r>
      <w:r w:rsidRPr="00CD6813">
        <w:rPr>
          <w:rFonts w:ascii="Arial" w:hAnsi="Arial" w:cs="Arial"/>
          <w:b/>
          <w:bCs/>
          <w:sz w:val="24"/>
          <w:szCs w:val="24"/>
        </w:rPr>
        <w:t>(g.n)</w:t>
      </w:r>
    </w:p>
    <w:p w:rsidR="00434968" w:rsidRPr="00CD6813" w:rsidRDefault="00434968" w:rsidP="00CD6813">
      <w:pPr>
        <w:autoSpaceDE w:val="0"/>
        <w:autoSpaceDN w:val="0"/>
        <w:adjustRightInd w:val="0"/>
        <w:spacing w:after="0" w:line="240" w:lineRule="auto"/>
        <w:jc w:val="both"/>
        <w:rPr>
          <w:rFonts w:ascii="Arial" w:hAnsi="Arial" w:cs="Arial"/>
          <w:sz w:val="24"/>
          <w:szCs w:val="24"/>
        </w:rPr>
      </w:pPr>
    </w:p>
    <w:p w:rsidR="00434968" w:rsidRDefault="00CD6813" w:rsidP="00CD6813">
      <w:pPr>
        <w:spacing w:after="0" w:line="240" w:lineRule="auto"/>
        <w:rPr>
          <w:rFonts w:ascii="Arial" w:hAnsi="Arial" w:cs="Arial"/>
          <w:sz w:val="24"/>
          <w:szCs w:val="24"/>
        </w:rPr>
      </w:pPr>
      <w:r>
        <w:rPr>
          <w:rFonts w:ascii="Arial" w:hAnsi="Arial" w:cs="Arial"/>
          <w:sz w:val="24"/>
          <w:szCs w:val="24"/>
        </w:rPr>
        <w:t>Diante das razões expostas, deixo de acolher a impugnação apresentada.</w:t>
      </w:r>
    </w:p>
    <w:p w:rsidR="008779D2" w:rsidRDefault="008779D2" w:rsidP="00CD6813">
      <w:pPr>
        <w:spacing w:after="0" w:line="240" w:lineRule="auto"/>
        <w:rPr>
          <w:rFonts w:ascii="Arial" w:hAnsi="Arial" w:cs="Arial"/>
          <w:sz w:val="24"/>
          <w:szCs w:val="24"/>
        </w:rPr>
      </w:pPr>
    </w:p>
    <w:p w:rsidR="008779D2" w:rsidRDefault="008779D2" w:rsidP="00CD6813">
      <w:pPr>
        <w:spacing w:after="0" w:line="240" w:lineRule="auto"/>
        <w:rPr>
          <w:rFonts w:ascii="Arial" w:hAnsi="Arial" w:cs="Arial"/>
          <w:sz w:val="24"/>
          <w:szCs w:val="24"/>
        </w:rPr>
      </w:pPr>
    </w:p>
    <w:p w:rsidR="008779D2" w:rsidRDefault="008779D2" w:rsidP="00CD6813">
      <w:pPr>
        <w:spacing w:after="0" w:line="240" w:lineRule="auto"/>
        <w:rPr>
          <w:rFonts w:ascii="Arial" w:hAnsi="Arial" w:cs="Arial"/>
          <w:sz w:val="24"/>
          <w:szCs w:val="24"/>
        </w:rPr>
      </w:pPr>
    </w:p>
    <w:p w:rsidR="008779D2" w:rsidRPr="008779D2" w:rsidRDefault="008779D2" w:rsidP="008779D2">
      <w:pPr>
        <w:spacing w:after="0" w:line="240" w:lineRule="auto"/>
        <w:jc w:val="right"/>
        <w:rPr>
          <w:rFonts w:ascii="Arial" w:hAnsi="Arial" w:cs="Arial"/>
          <w:sz w:val="24"/>
          <w:szCs w:val="24"/>
        </w:rPr>
      </w:pPr>
      <w:r w:rsidRPr="008779D2">
        <w:rPr>
          <w:rFonts w:ascii="Arial" w:hAnsi="Arial" w:cs="Arial"/>
          <w:sz w:val="24"/>
          <w:szCs w:val="24"/>
        </w:rPr>
        <w:t xml:space="preserve">At. </w:t>
      </w:r>
      <w:r w:rsidRPr="008779D2">
        <w:rPr>
          <w:rFonts w:ascii="Arial" w:hAnsi="Arial" w:cs="Arial"/>
          <w:noProof/>
          <w:sz w:val="24"/>
          <w:szCs w:val="24"/>
        </w:rPr>
        <w:t>Paulo Sérgio Dias Sant’Ana Júnior</w:t>
      </w:r>
    </w:p>
    <w:p w:rsidR="008779D2" w:rsidRPr="008779D2" w:rsidRDefault="008779D2" w:rsidP="008779D2">
      <w:pPr>
        <w:spacing w:after="0" w:line="240" w:lineRule="auto"/>
        <w:jc w:val="right"/>
        <w:rPr>
          <w:rFonts w:ascii="Arial" w:hAnsi="Arial" w:cs="Arial"/>
          <w:sz w:val="24"/>
          <w:szCs w:val="24"/>
        </w:rPr>
      </w:pPr>
      <w:r w:rsidRPr="008779D2">
        <w:rPr>
          <w:rFonts w:ascii="Arial" w:hAnsi="Arial" w:cs="Arial"/>
          <w:sz w:val="24"/>
          <w:szCs w:val="24"/>
        </w:rPr>
        <w:t>Diretor Jurídico</w:t>
      </w:r>
    </w:p>
    <w:p w:rsidR="008779D2" w:rsidRPr="008779D2" w:rsidRDefault="008779D2" w:rsidP="008779D2">
      <w:pPr>
        <w:spacing w:after="0" w:line="240" w:lineRule="auto"/>
        <w:jc w:val="right"/>
        <w:rPr>
          <w:rFonts w:ascii="Arial" w:hAnsi="Arial" w:cs="Arial"/>
          <w:sz w:val="24"/>
          <w:szCs w:val="24"/>
        </w:rPr>
      </w:pPr>
      <w:r w:rsidRPr="008779D2">
        <w:rPr>
          <w:rFonts w:ascii="Arial" w:hAnsi="Arial" w:cs="Arial"/>
          <w:noProof/>
          <w:sz w:val="24"/>
          <w:szCs w:val="24"/>
        </w:rPr>
        <w:t>OAB/SP N° 264.001</w:t>
      </w:r>
    </w:p>
    <w:p w:rsidR="008779D2" w:rsidRPr="00CD6813" w:rsidRDefault="008779D2" w:rsidP="00CD6813">
      <w:pPr>
        <w:spacing w:after="0" w:line="240" w:lineRule="auto"/>
        <w:rPr>
          <w:rFonts w:ascii="Arial" w:hAnsi="Arial" w:cs="Arial"/>
          <w:sz w:val="24"/>
          <w:szCs w:val="24"/>
        </w:rPr>
      </w:pPr>
    </w:p>
    <w:sectPr w:rsidR="008779D2" w:rsidRPr="00CD6813" w:rsidSect="008779D2">
      <w:headerReference w:type="default" r:id="rId7"/>
      <w:pgSz w:w="11906" w:h="16838"/>
      <w:pgMar w:top="686"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1F7F" w:rsidRDefault="00C81F7F" w:rsidP="00434968">
      <w:pPr>
        <w:spacing w:after="0" w:line="240" w:lineRule="auto"/>
      </w:pPr>
      <w:r>
        <w:separator/>
      </w:r>
    </w:p>
  </w:endnote>
  <w:endnote w:type="continuationSeparator" w:id="1">
    <w:p w:rsidR="00C81F7F" w:rsidRDefault="00C81F7F" w:rsidP="004349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1F7F" w:rsidRDefault="00C81F7F" w:rsidP="00434968">
      <w:pPr>
        <w:spacing w:after="0" w:line="240" w:lineRule="auto"/>
      </w:pPr>
      <w:r>
        <w:separator/>
      </w:r>
    </w:p>
  </w:footnote>
  <w:footnote w:type="continuationSeparator" w:id="1">
    <w:p w:rsidR="00C81F7F" w:rsidRDefault="00C81F7F" w:rsidP="004349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9D2" w:rsidRPr="00253B3D" w:rsidRDefault="008779D2" w:rsidP="008779D2">
    <w:pPr>
      <w:spacing w:after="0" w:line="240" w:lineRule="auto"/>
      <w:jc w:val="center"/>
      <w:rPr>
        <w:rFonts w:ascii="Calibri Light" w:hAnsi="Calibri Light" w:cs="Arial Rounded MT Bold"/>
        <w:b/>
        <w:bCs/>
        <w:sz w:val="20"/>
        <w:szCs w:val="20"/>
      </w:rPr>
    </w:pPr>
    <w:r>
      <w:rPr>
        <w:rFonts w:ascii="Calibri Light" w:hAnsi="Calibri Light" w:cs="Arial Rounded MT Bold"/>
        <w:noProof/>
        <w:sz w:val="20"/>
        <w:szCs w:val="20"/>
        <w:lang w:eastAsia="pt-BR"/>
      </w:rPr>
      <w:drawing>
        <wp:anchor distT="0" distB="0" distL="114300" distR="114300" simplePos="0" relativeHeight="251658240" behindDoc="0" locked="0" layoutInCell="1" allowOverlap="1">
          <wp:simplePos x="0" y="0"/>
          <wp:positionH relativeFrom="column">
            <wp:posOffset>167640</wp:posOffset>
          </wp:positionH>
          <wp:positionV relativeFrom="paragraph">
            <wp:posOffset>-116205</wp:posOffset>
          </wp:positionV>
          <wp:extent cx="628650" cy="638175"/>
          <wp:effectExtent l="19050" t="0" r="0" b="0"/>
          <wp:wrapSquare wrapText="bothSides"/>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628650" cy="638175"/>
                  </a:xfrm>
                  <a:prstGeom prst="rect">
                    <a:avLst/>
                  </a:prstGeom>
                  <a:noFill/>
                </pic:spPr>
              </pic:pic>
            </a:graphicData>
          </a:graphic>
        </wp:anchor>
      </w:drawing>
    </w:r>
    <w:r w:rsidRPr="00253B3D">
      <w:rPr>
        <w:rFonts w:ascii="Calibri Light" w:hAnsi="Calibri Light" w:cs="Arial Rounded MT Bold"/>
        <w:sz w:val="20"/>
        <w:szCs w:val="20"/>
      </w:rPr>
      <w:t>PREFEITURA MUNICIPAL DE PEDRO DE TOLEDO</w:t>
    </w:r>
  </w:p>
  <w:p w:rsidR="008779D2" w:rsidRPr="00253B3D" w:rsidRDefault="008779D2" w:rsidP="008779D2">
    <w:pPr>
      <w:spacing w:after="0" w:line="240" w:lineRule="auto"/>
      <w:jc w:val="center"/>
      <w:rPr>
        <w:rFonts w:ascii="Calibri Light" w:hAnsi="Calibri Light" w:cs="Arial Rounded MT Bold"/>
        <w:sz w:val="20"/>
        <w:szCs w:val="20"/>
      </w:rPr>
    </w:pPr>
    <w:r w:rsidRPr="00253B3D">
      <w:rPr>
        <w:rFonts w:ascii="Calibri Light" w:hAnsi="Calibri Light" w:cs="Arial Rounded MT Bold"/>
        <w:sz w:val="20"/>
        <w:szCs w:val="20"/>
      </w:rPr>
      <w:t xml:space="preserve">Departamento </w:t>
    </w:r>
    <w:r>
      <w:rPr>
        <w:rFonts w:ascii="Calibri Light" w:hAnsi="Calibri Light" w:cs="Arial Rounded MT Bold"/>
        <w:sz w:val="20"/>
        <w:szCs w:val="20"/>
      </w:rPr>
      <w:t>Juridico</w:t>
    </w:r>
  </w:p>
  <w:p w:rsidR="008779D2" w:rsidRPr="00253B3D" w:rsidRDefault="008779D2" w:rsidP="008779D2">
    <w:pPr>
      <w:spacing w:after="0" w:line="240" w:lineRule="auto"/>
      <w:jc w:val="center"/>
      <w:rPr>
        <w:rFonts w:ascii="Calibri Light" w:hAnsi="Calibri Light" w:cs="Arial Rounded MT Bold"/>
        <w:sz w:val="20"/>
        <w:szCs w:val="20"/>
      </w:rPr>
    </w:pPr>
    <w:r w:rsidRPr="00253B3D">
      <w:rPr>
        <w:rFonts w:ascii="Calibri Light" w:hAnsi="Calibri Light" w:cs="Arial Rounded MT Bold"/>
        <w:sz w:val="20"/>
        <w:szCs w:val="20"/>
      </w:rPr>
      <w:t>Av. Cel. Raimundo Vasconcelos, 230 Centro</w:t>
    </w:r>
  </w:p>
  <w:p w:rsidR="008779D2" w:rsidRPr="00253B3D" w:rsidRDefault="008779D2" w:rsidP="008779D2">
    <w:pPr>
      <w:spacing w:after="0" w:line="240" w:lineRule="auto"/>
      <w:jc w:val="center"/>
      <w:rPr>
        <w:rFonts w:ascii="Calibri Light" w:hAnsi="Calibri Light" w:cs="Arial Rounded MT Bold"/>
        <w:sz w:val="20"/>
        <w:szCs w:val="20"/>
      </w:rPr>
    </w:pPr>
    <w:r>
      <w:rPr>
        <w:rFonts w:ascii="Calibri Light" w:hAnsi="Calibri Light" w:cs="Arial Rounded MT Bold"/>
        <w:sz w:val="20"/>
        <w:szCs w:val="20"/>
      </w:rPr>
      <w:t>(13) 3419-7000 – ramal 207</w:t>
    </w:r>
  </w:p>
  <w:p w:rsidR="008779D2" w:rsidRDefault="008779D2">
    <w:pPr>
      <w:pStyle w:val="Cabealh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074"/>
  </w:hdrShapeDefaults>
  <w:footnotePr>
    <w:footnote w:id="0"/>
    <w:footnote w:id="1"/>
  </w:footnotePr>
  <w:endnotePr>
    <w:endnote w:id="0"/>
    <w:endnote w:id="1"/>
  </w:endnotePr>
  <w:compat/>
  <w:rsids>
    <w:rsidRoot w:val="00434968"/>
    <w:rsid w:val="00077353"/>
    <w:rsid w:val="00434968"/>
    <w:rsid w:val="007B47C0"/>
    <w:rsid w:val="008779D2"/>
    <w:rsid w:val="00C81F7F"/>
    <w:rsid w:val="00CB6ED7"/>
    <w:rsid w:val="00CD6813"/>
    <w:rsid w:val="00E13A72"/>
    <w:rsid w:val="00F3084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ED7"/>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3496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34968"/>
  </w:style>
  <w:style w:type="paragraph" w:styleId="Rodap">
    <w:name w:val="footer"/>
    <w:basedOn w:val="Normal"/>
    <w:link w:val="RodapChar"/>
    <w:uiPriority w:val="99"/>
    <w:unhideWhenUsed/>
    <w:rsid w:val="00434968"/>
    <w:pPr>
      <w:tabs>
        <w:tab w:val="center" w:pos="4252"/>
        <w:tab w:val="right" w:pos="8504"/>
      </w:tabs>
      <w:spacing w:after="0" w:line="240" w:lineRule="auto"/>
    </w:pPr>
  </w:style>
  <w:style w:type="character" w:customStyle="1" w:styleId="RodapChar">
    <w:name w:val="Rodapé Char"/>
    <w:basedOn w:val="Fontepargpadro"/>
    <w:link w:val="Rodap"/>
    <w:uiPriority w:val="99"/>
    <w:rsid w:val="00434968"/>
  </w:style>
  <w:style w:type="character" w:styleId="Hyperlink">
    <w:name w:val="Hyperlink"/>
    <w:basedOn w:val="Fontepargpadro"/>
    <w:uiPriority w:val="99"/>
    <w:rsid w:val="008779D2"/>
    <w:rPr>
      <w:color w:val="0000FF"/>
      <w:u w:val="single"/>
    </w:rPr>
  </w:style>
</w:styles>
</file>

<file path=word/webSettings.xml><?xml version="1.0" encoding="utf-8"?>
<w:webSettings xmlns:r="http://schemas.openxmlformats.org/officeDocument/2006/relationships" xmlns:w="http://schemas.openxmlformats.org/wordprocessingml/2006/main">
  <w:divs>
    <w:div w:id="66537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51DF05-6C2C-456A-9266-92E4FA38B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540</Words>
  <Characters>2916</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Empresa</dc:creator>
  <cp:lastModifiedBy>Juliana</cp:lastModifiedBy>
  <cp:revision>1</cp:revision>
  <dcterms:created xsi:type="dcterms:W3CDTF">2020-08-24T20:50:00Z</dcterms:created>
  <dcterms:modified xsi:type="dcterms:W3CDTF">2020-08-25T11:59:00Z</dcterms:modified>
</cp:coreProperties>
</file>